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B5" w:rsidRPr="00E74819" w:rsidRDefault="00D654B5" w:rsidP="00D654B5">
      <w:pPr>
        <w:pStyle w:val="NormalWeb"/>
        <w:jc w:val="center"/>
        <w:rPr>
          <w:b/>
          <w:bCs/>
          <w:sz w:val="32"/>
          <w:szCs w:val="32"/>
        </w:rPr>
      </w:pPr>
      <w:r w:rsidRPr="00E7481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291A25" wp14:editId="35DCBCC2">
                <wp:simplePos x="0" y="0"/>
                <wp:positionH relativeFrom="column">
                  <wp:posOffset>4199255</wp:posOffset>
                </wp:positionH>
                <wp:positionV relativeFrom="paragraph">
                  <wp:posOffset>455930</wp:posOffset>
                </wp:positionV>
                <wp:extent cx="1725295" cy="1"/>
                <wp:effectExtent l="0" t="0" r="27305" b="19050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5295" cy="1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83E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330.65pt;margin-top:35.9pt;width:135.8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"/>
            </w:pict>
          </mc:Fallback>
        </mc:AlternateContent>
      </w:r>
      <w:proofErr w:type="spellStart"/>
      <w:r w:rsidRPr="00E74819">
        <w:rPr>
          <w:rStyle w:val="Strong"/>
          <w:sz w:val="32"/>
          <w:szCs w:val="32"/>
        </w:rPr>
        <w:t>Danh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mục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một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số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văn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bản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pháp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luật</w:t>
      </w:r>
      <w:proofErr w:type="spellEnd"/>
      <w:r w:rsidRPr="00E74819">
        <w:rPr>
          <w:rStyle w:val="Strong"/>
          <w:sz w:val="32"/>
          <w:szCs w:val="32"/>
        </w:rPr>
        <w:t xml:space="preserve"> có </w:t>
      </w:r>
      <w:proofErr w:type="spellStart"/>
      <w:r w:rsidRPr="00E74819">
        <w:rPr>
          <w:rStyle w:val="Strong"/>
          <w:sz w:val="32"/>
          <w:szCs w:val="32"/>
        </w:rPr>
        <w:t>hiệu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lực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thi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hành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proofErr w:type="spellStart"/>
      <w:r w:rsidRPr="00E74819">
        <w:rPr>
          <w:rStyle w:val="Strong"/>
          <w:sz w:val="32"/>
          <w:szCs w:val="32"/>
        </w:rPr>
        <w:t>tư</w:t>
      </w:r>
      <w:proofErr w:type="spellEnd"/>
      <w:r w:rsidRPr="00E74819">
        <w:rPr>
          <w:rStyle w:val="Strong"/>
          <w:sz w:val="32"/>
          <w:szCs w:val="32"/>
        </w:rPr>
        <w:t xml:space="preserve">̀ </w:t>
      </w:r>
      <w:proofErr w:type="spellStart"/>
      <w:r w:rsidRPr="00E74819">
        <w:rPr>
          <w:rStyle w:val="Strong"/>
          <w:sz w:val="32"/>
          <w:szCs w:val="32"/>
        </w:rPr>
        <w:t>tháng</w:t>
      </w:r>
      <w:proofErr w:type="spellEnd"/>
      <w:r w:rsidRPr="00E74819">
        <w:rPr>
          <w:rStyle w:val="Strong"/>
          <w:sz w:val="32"/>
          <w:szCs w:val="32"/>
        </w:rPr>
        <w:t xml:space="preserve"> </w:t>
      </w:r>
      <w:r>
        <w:rPr>
          <w:rStyle w:val="Strong"/>
          <w:sz w:val="32"/>
          <w:szCs w:val="32"/>
        </w:rPr>
        <w:t>01</w:t>
      </w:r>
      <w:r w:rsidRPr="00E74819">
        <w:rPr>
          <w:rStyle w:val="Strong"/>
          <w:sz w:val="32"/>
          <w:szCs w:val="32"/>
        </w:rPr>
        <w:t>/20</w:t>
      </w:r>
      <w:r>
        <w:rPr>
          <w:rStyle w:val="Strong"/>
          <w:sz w:val="32"/>
          <w:szCs w:val="32"/>
        </w:rPr>
        <w:t>23</w:t>
      </w:r>
    </w:p>
    <w:tbl>
      <w:tblPr>
        <w:tblStyle w:val="TableGrid"/>
        <w:tblpPr w:leftFromText="180" w:rightFromText="180" w:vertAnchor="text" w:tblpX="260" w:tblpY="1"/>
        <w:tblOverlap w:val="never"/>
        <w:tblW w:w="15765" w:type="dxa"/>
        <w:tblLayout w:type="fixed"/>
        <w:tblLook w:val="04A0" w:firstRow="1" w:lastRow="0" w:firstColumn="1" w:lastColumn="0" w:noHBand="0" w:noVBand="1"/>
      </w:tblPr>
      <w:tblGrid>
        <w:gridCol w:w="675"/>
        <w:gridCol w:w="3744"/>
        <w:gridCol w:w="1716"/>
        <w:gridCol w:w="6364"/>
        <w:gridCol w:w="1736"/>
        <w:gridCol w:w="1530"/>
      </w:tblGrid>
      <w:tr w:rsidR="00D654B5" w:rsidRPr="009B745C" w:rsidTr="0053405E">
        <w:tc>
          <w:tcPr>
            <w:tcW w:w="675" w:type="dxa"/>
            <w:vAlign w:val="center"/>
          </w:tcPr>
          <w:p w:rsidR="00D654B5" w:rsidRPr="009B745C" w:rsidRDefault="00D654B5" w:rsidP="0053405E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sz w:val="26"/>
                <w:szCs w:val="26"/>
              </w:rPr>
            </w:pPr>
            <w:r w:rsidRPr="009B745C">
              <w:rPr>
                <w:sz w:val="26"/>
                <w:szCs w:val="26"/>
              </w:rPr>
              <w:t>TT</w:t>
            </w:r>
          </w:p>
        </w:tc>
        <w:tc>
          <w:tcPr>
            <w:tcW w:w="3744" w:type="dxa"/>
            <w:vAlign w:val="center"/>
          </w:tcPr>
          <w:p w:rsidR="00D654B5" w:rsidRPr="009B745C" w:rsidRDefault="00D654B5" w:rsidP="0053405E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sz w:val="26"/>
                <w:szCs w:val="26"/>
              </w:rPr>
            </w:pPr>
            <w:r w:rsidRPr="009B745C">
              <w:rPr>
                <w:sz w:val="26"/>
                <w:szCs w:val="26"/>
              </w:rPr>
              <w:t>Loại văn bản pháp luật</w:t>
            </w:r>
          </w:p>
        </w:tc>
        <w:tc>
          <w:tcPr>
            <w:tcW w:w="1716" w:type="dxa"/>
          </w:tcPr>
          <w:p w:rsidR="00D654B5" w:rsidRPr="009B745C" w:rsidRDefault="00D654B5" w:rsidP="0053405E">
            <w:pPr>
              <w:pStyle w:val="Heading2"/>
              <w:spacing w:before="120" w:beforeAutospacing="0" w:after="120" w:afterAutospacing="0"/>
              <w:jc w:val="center"/>
              <w:outlineLvl w:val="1"/>
              <w:rPr>
                <w:sz w:val="26"/>
                <w:szCs w:val="26"/>
              </w:rPr>
            </w:pPr>
            <w:r w:rsidRPr="009B745C">
              <w:rPr>
                <w:sz w:val="26"/>
                <w:szCs w:val="26"/>
              </w:rPr>
              <w:t>Cơ quan</w:t>
            </w:r>
          </w:p>
          <w:p w:rsidR="00D654B5" w:rsidRPr="009B745C" w:rsidRDefault="00D654B5" w:rsidP="0053405E">
            <w:pPr>
              <w:pStyle w:val="Heading2"/>
              <w:spacing w:before="120" w:beforeAutospacing="0" w:after="120" w:afterAutospacing="0"/>
              <w:jc w:val="center"/>
              <w:outlineLvl w:val="1"/>
              <w:rPr>
                <w:sz w:val="26"/>
                <w:szCs w:val="26"/>
              </w:rPr>
            </w:pPr>
            <w:r w:rsidRPr="009B745C">
              <w:rPr>
                <w:sz w:val="26"/>
                <w:szCs w:val="26"/>
              </w:rPr>
              <w:t>ban hành</w:t>
            </w:r>
          </w:p>
        </w:tc>
        <w:tc>
          <w:tcPr>
            <w:tcW w:w="6364" w:type="dxa"/>
            <w:vAlign w:val="center"/>
          </w:tcPr>
          <w:p w:rsidR="00D654B5" w:rsidRPr="009B745C" w:rsidRDefault="00D654B5" w:rsidP="0053405E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rFonts w:eastAsiaTheme="majorEastAsia"/>
                <w:iCs/>
                <w:color w:val="222222"/>
                <w:sz w:val="26"/>
                <w:szCs w:val="26"/>
                <w:shd w:val="clear" w:color="auto" w:fill="FFFFFF"/>
              </w:rPr>
            </w:pPr>
            <w:r w:rsidRPr="009B745C">
              <w:rPr>
                <w:rFonts w:eastAsiaTheme="majorEastAsia"/>
                <w:iCs/>
                <w:color w:val="222222"/>
                <w:sz w:val="26"/>
                <w:szCs w:val="26"/>
                <w:shd w:val="clear" w:color="auto" w:fill="FFFFFF"/>
              </w:rPr>
              <w:t>Trích yếu nội dung văn bản</w:t>
            </w:r>
          </w:p>
        </w:tc>
        <w:tc>
          <w:tcPr>
            <w:tcW w:w="1736" w:type="dxa"/>
            <w:vAlign w:val="center"/>
          </w:tcPr>
          <w:p w:rsidR="00D654B5" w:rsidRPr="009B745C" w:rsidRDefault="00D654B5" w:rsidP="0053405E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sz w:val="26"/>
                <w:szCs w:val="26"/>
              </w:rPr>
            </w:pPr>
            <w:r w:rsidRPr="009B745C">
              <w:rPr>
                <w:sz w:val="26"/>
                <w:szCs w:val="26"/>
              </w:rPr>
              <w:t>Ngày ban hành</w:t>
            </w:r>
          </w:p>
        </w:tc>
        <w:tc>
          <w:tcPr>
            <w:tcW w:w="1530" w:type="dxa"/>
          </w:tcPr>
          <w:p w:rsidR="00D654B5" w:rsidRPr="009B745C" w:rsidRDefault="00D654B5" w:rsidP="0053405E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sz w:val="26"/>
                <w:szCs w:val="26"/>
              </w:rPr>
            </w:pPr>
            <w:r w:rsidRPr="009B745C">
              <w:rPr>
                <w:sz w:val="26"/>
                <w:szCs w:val="26"/>
              </w:rPr>
              <w:t>Ngày có hiệu lực</w:t>
            </w:r>
          </w:p>
          <w:p w:rsidR="00D654B5" w:rsidRPr="009B745C" w:rsidRDefault="00D654B5" w:rsidP="0053405E">
            <w:pPr>
              <w:pStyle w:val="Heading2"/>
              <w:spacing w:before="0" w:beforeAutospacing="0" w:after="0" w:afterAutospacing="0"/>
              <w:jc w:val="center"/>
              <w:outlineLvl w:val="1"/>
              <w:rPr>
                <w:sz w:val="26"/>
                <w:szCs w:val="26"/>
              </w:rPr>
            </w:pPr>
            <w:r w:rsidRPr="009B745C">
              <w:rPr>
                <w:sz w:val="26"/>
                <w:szCs w:val="26"/>
              </w:rPr>
              <w:t>thi hành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Luật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 xml:space="preserve"> 04/2022/QH15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Quốc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hội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Luật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Cảnh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sát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cơ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động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14/6/2022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Luật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05/2022/QH15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Quốc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hội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Luật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Điện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ảnh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15/6/2022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Luật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07/2022/QH15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Quốc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hội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E320BD" w:rsidRDefault="00D654B5" w:rsidP="0053405E">
            <w:pPr>
              <w:tabs>
                <w:tab w:val="left" w:pos="1075"/>
              </w:tabs>
              <w:jc w:val="both"/>
              <w:rPr>
                <w:spacing w:val="-6"/>
                <w:sz w:val="28"/>
                <w:szCs w:val="28"/>
              </w:rPr>
            </w:pP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Luật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Sửa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đổi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bổ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sung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một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số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điều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của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Luật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Sở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hữu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trí</w:t>
            </w:r>
            <w:proofErr w:type="spellEnd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spacing w:val="-6"/>
                <w:sz w:val="28"/>
                <w:szCs w:val="28"/>
                <w:shd w:val="clear" w:color="auto" w:fill="FFFFFF"/>
                <w:lang w:val="en-US"/>
              </w:rPr>
              <w:t>tuệ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16/6/2022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Luật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08/2022/QH15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Quốc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hội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Luật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Kinh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doanh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bảo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hiểm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16/6/2022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71/2022/NĐ-CP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phủ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E320BD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</w:pP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Nghị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định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sửa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đổi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bổ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sung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một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số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điều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của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Nghị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định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số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06/2016/NĐ-CP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ngày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18/01/2016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của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Chính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phủ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về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quản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lý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cung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cấp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và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sử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dụng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dịch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vụ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phát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thanh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truyền</w:t>
            </w:r>
            <w:proofErr w:type="spellEnd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E320BD">
              <w:rPr>
                <w:rFonts w:ascii="Times New Roman" w:hAnsi="Times New Roman" w:cs="Times New Roman"/>
                <w:b w:val="0"/>
                <w:color w:val="auto"/>
                <w:spacing w:val="-8"/>
                <w:shd w:val="clear" w:color="auto" w:fill="FFFFFF"/>
                <w:lang w:val="en-US"/>
              </w:rPr>
              <w:t>hình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01/10/2022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72/2022/NĐ-CP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phủ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sửa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đổi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bổ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sung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một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điều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của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60/2014/NĐ-CP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ngày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19/6/2014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của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phủ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về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hoạt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động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in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và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25/2018/NĐ-CP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ngày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28/02/2018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của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phủ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sửa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đổi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bổ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sung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một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điều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60/2014/NĐ-CP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ngày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19/6/2014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của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phủ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về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hoạt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động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in</w:t>
            </w:r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04/10/2022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94/2022/NĐ-CP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phủ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nội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dung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chỉ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tiêu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thống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kê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quốc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gia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và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trình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biên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soạn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chỉ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tiêu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thống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kê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tổng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sản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phẩm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trong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nước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chỉ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tiêu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tổng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sản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phẩm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trên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bàn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tỉnh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thành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trực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thuộc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Trung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ương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07/11/2022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97/2022/NĐ-CP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phủ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sách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đối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với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người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lao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động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dôi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dư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khi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chuyển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đổi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sở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hữu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sắp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xếp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lại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công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ty TNHH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một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thành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viên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do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nhà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nước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nắm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giữ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100%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vốn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điều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lệ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29/11/2022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15/01/2023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98/2022/NĐ-CP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phủ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chức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năng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nhiệm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vụ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quyền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hạn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và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cơ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cấu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tổ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chức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của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Bộ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Tư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pháp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29/11/2022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99/2022/NĐ-CP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phủ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về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đăng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ký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biện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pháp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bảo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đảm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30/11/2022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15/01/2022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104/2022/NĐ-CP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phủ</w:t>
            </w:r>
            <w:proofErr w:type="spellEnd"/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Sửa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đổi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bổ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sung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một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điều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của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các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Nghị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liên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quan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đến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việc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nộp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xuất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trình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sổ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hộ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khẩu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sổ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tạm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trú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giấy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khi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thực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hiện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thủ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tục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hành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chính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cung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cấp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dịch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vụ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công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21/12/2022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  <w:tr w:rsidR="00D654B5" w:rsidRPr="002438FE" w:rsidTr="0053405E">
        <w:tc>
          <w:tcPr>
            <w:tcW w:w="675" w:type="dxa"/>
            <w:vAlign w:val="center"/>
          </w:tcPr>
          <w:p w:rsidR="00D654B5" w:rsidRPr="002438FE" w:rsidRDefault="00D654B5" w:rsidP="00D654B5">
            <w:pPr>
              <w:pStyle w:val="Heading2"/>
              <w:numPr>
                <w:ilvl w:val="0"/>
                <w:numId w:val="1"/>
              </w:numPr>
              <w:spacing w:before="0" w:beforeAutospacing="0" w:after="0" w:afterAutospacing="0"/>
              <w:jc w:val="center"/>
              <w:outlineLvl w:val="1"/>
              <w:rPr>
                <w:sz w:val="28"/>
                <w:szCs w:val="28"/>
                <w:lang w:val="en-US"/>
              </w:rPr>
            </w:pPr>
          </w:p>
        </w:tc>
        <w:tc>
          <w:tcPr>
            <w:tcW w:w="3744" w:type="dxa"/>
            <w:vAlign w:val="center"/>
          </w:tcPr>
          <w:p w:rsidR="00D654B5" w:rsidRPr="002438FE" w:rsidRDefault="00D654B5" w:rsidP="0053405E">
            <w:pPr>
              <w:pStyle w:val="Heading1"/>
              <w:spacing w:before="0" w:after="24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Thông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tư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14/2022/TT-NHNN</w:t>
            </w:r>
          </w:p>
        </w:tc>
        <w:tc>
          <w:tcPr>
            <w:tcW w:w="171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color w:val="auto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Ngân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hàng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nhà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nước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>Việt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lang w:val="en-US"/>
              </w:rPr>
              <w:t xml:space="preserve"> Nam </w:t>
            </w:r>
          </w:p>
        </w:tc>
        <w:tc>
          <w:tcPr>
            <w:tcW w:w="6364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</w:pP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Thông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tư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quy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định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mã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số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tiêu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chuẩn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chuyên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môn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nghiệp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vụ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và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xếp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lương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đối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với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các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ngạch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công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chức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chuyên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ngành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ngân</w:t>
            </w:r>
            <w:proofErr w:type="spellEnd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2438FE">
              <w:rPr>
                <w:rFonts w:ascii="Times New Roman" w:hAnsi="Times New Roman" w:cs="Times New Roman"/>
                <w:b w:val="0"/>
                <w:color w:val="auto"/>
                <w:shd w:val="clear" w:color="auto" w:fill="FFFFFF"/>
                <w:lang w:val="en-US"/>
              </w:rPr>
              <w:t>hàng</w:t>
            </w:r>
            <w:proofErr w:type="spellEnd"/>
          </w:p>
        </w:tc>
        <w:tc>
          <w:tcPr>
            <w:tcW w:w="1736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31/10/2022</w:t>
            </w:r>
          </w:p>
        </w:tc>
        <w:tc>
          <w:tcPr>
            <w:tcW w:w="1530" w:type="dxa"/>
            <w:vAlign w:val="center"/>
          </w:tcPr>
          <w:p w:rsidR="00D654B5" w:rsidRPr="002438FE" w:rsidRDefault="00D654B5" w:rsidP="0053405E">
            <w:pPr>
              <w:pStyle w:val="Heading1"/>
              <w:spacing w:before="120" w:after="120"/>
              <w:outlineLvl w:val="0"/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</w:pPr>
            <w:r w:rsidRPr="002438FE">
              <w:rPr>
                <w:rFonts w:ascii="Times New Roman" w:hAnsi="Times New Roman" w:cs="Times New Roman"/>
                <w:b w:val="0"/>
                <w:iCs/>
                <w:color w:val="auto"/>
                <w:shd w:val="clear" w:color="auto" w:fill="FFFFFF"/>
                <w:lang w:val="en-US"/>
              </w:rPr>
              <w:t>01/01/2023</w:t>
            </w:r>
          </w:p>
        </w:tc>
      </w:tr>
    </w:tbl>
    <w:p w:rsidR="00D654B5" w:rsidRPr="002438FE" w:rsidRDefault="00D654B5" w:rsidP="00D654B5">
      <w:pPr>
        <w:rPr>
          <w:sz w:val="28"/>
          <w:szCs w:val="28"/>
        </w:rPr>
      </w:pPr>
    </w:p>
    <w:p w:rsidR="0045345A" w:rsidRDefault="0045345A">
      <w:bookmarkStart w:id="0" w:name="_GoBack"/>
      <w:bookmarkEnd w:id="0"/>
    </w:p>
    <w:sectPr w:rsidR="0045345A" w:rsidSect="009E0113">
      <w:footerReference w:type="default" r:id="rId5"/>
      <w:pgSz w:w="16840" w:h="11907" w:orient="landscape" w:code="9"/>
      <w:pgMar w:top="900" w:right="340" w:bottom="340" w:left="340" w:header="720" w:footer="37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04E" w:rsidRDefault="00D654B5">
    <w:pPr>
      <w:pStyle w:val="Footer"/>
      <w:jc w:val="center"/>
    </w:pPr>
  </w:p>
  <w:p w:rsidR="006A424B" w:rsidRDefault="00D654B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33996"/>
    <w:multiLevelType w:val="hybridMultilevel"/>
    <w:tmpl w:val="BAB4FF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4B5"/>
    <w:rsid w:val="0045345A"/>
    <w:rsid w:val="00D654B5"/>
    <w:rsid w:val="00F6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A2311-B7C9-4424-ADCB-E64998BB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4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54B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654B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54B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54B5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TableGrid">
    <w:name w:val="Table Grid"/>
    <w:basedOn w:val="TableNormal"/>
    <w:uiPriority w:val="59"/>
    <w:rsid w:val="00D654B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654B5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654B5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D654B5"/>
    <w:pPr>
      <w:tabs>
        <w:tab w:val="center" w:pos="4680"/>
        <w:tab w:val="right" w:pos="9360"/>
      </w:tabs>
    </w:pPr>
    <w:rPr>
      <w:rFonts w:eastAsiaTheme="minorHAns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654B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5d54f473c9d813755771dccec0babd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67e30616eeadeb776f014c5fbcfd81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4471DA-6F5C-4118-A4EB-7474EAC0CA05}"/>
</file>

<file path=customXml/itemProps2.xml><?xml version="1.0" encoding="utf-8"?>
<ds:datastoreItem xmlns:ds="http://schemas.openxmlformats.org/officeDocument/2006/customXml" ds:itemID="{151D5687-2809-4D13-8C92-DDFD70427A87}"/>
</file>

<file path=customXml/itemProps3.xml><?xml version="1.0" encoding="utf-8"?>
<ds:datastoreItem xmlns:ds="http://schemas.openxmlformats.org/officeDocument/2006/customXml" ds:itemID="{C596E58B-782E-4AD5-9748-17C0842C83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CHICHI</dc:creator>
  <cp:keywords/>
  <dc:description/>
  <cp:lastModifiedBy>CHICHI</cp:lastModifiedBy>
  <cp:revision>1</cp:revision>
  <dcterms:created xsi:type="dcterms:W3CDTF">2023-03-09T07:27:00Z</dcterms:created>
  <dcterms:modified xsi:type="dcterms:W3CDTF">2023-03-09T07:28:00Z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